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1D4" w:rsidRDefault="00EE41D4" w:rsidP="00EE4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 w:rsidRPr="00205F57">
        <w:rPr>
          <w:rFonts w:ascii="Cambria" w:eastAsia="Cambria" w:hAnsi="Cambria" w:cs="Cambria"/>
          <w:b/>
          <w:sz w:val="24"/>
          <w:szCs w:val="24"/>
        </w:rPr>
        <w:t xml:space="preserve">ÖNLİSANS VE LİSANS PROGRAMLARI </w:t>
      </w:r>
    </w:p>
    <w:p w:rsidR="00EE41D4" w:rsidRDefault="00EE41D4" w:rsidP="00EE4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ÖZDEĞERLENDİRME RAPORU</w:t>
      </w:r>
    </w:p>
    <w:p w:rsidR="00EE41D4" w:rsidRDefault="00EE41D4" w:rsidP="00EE4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PUKÖ KOD VE TANIMLARI</w:t>
      </w:r>
    </w:p>
    <w:p w:rsidR="00EE41D4" w:rsidRDefault="00EE41D4" w:rsidP="00EE4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b/>
          <w:sz w:val="24"/>
          <w:szCs w:val="24"/>
        </w:rPr>
      </w:pPr>
    </w:p>
    <w:p w:rsidR="00EE41D4" w:rsidRDefault="00EE41D4" w:rsidP="00EE4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 w:rsidRPr="00EE41D4">
        <w:rPr>
          <w:rFonts w:ascii="Cambria" w:eastAsia="Cambria" w:hAnsi="Cambria" w:cs="Cambria"/>
          <w:b/>
          <w:color w:val="FF0000"/>
          <w:sz w:val="24"/>
          <w:szCs w:val="24"/>
        </w:rPr>
        <w:t>Baştaki sayılar KOD; Açıklamalar da TANIM olarak kullanılacaktır.</w:t>
      </w:r>
    </w:p>
    <w:p w:rsidR="00EE41D4" w:rsidRDefault="00EE41D4" w:rsidP="00EE41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b/>
          <w:sz w:val="24"/>
          <w:szCs w:val="24"/>
        </w:rPr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08"/>
      </w:tblGrid>
      <w:tr w:rsidR="00EE41D4" w:rsidRPr="00205F57" w:rsidTr="00E35F6C">
        <w:trPr>
          <w:trHeight w:val="244"/>
          <w:jc w:val="center"/>
        </w:trPr>
        <w:tc>
          <w:tcPr>
            <w:tcW w:w="7508" w:type="dxa"/>
            <w:vMerge w:val="restart"/>
            <w:vAlign w:val="center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ÖLÇÜTLER / MADDELER</w:t>
            </w:r>
          </w:p>
        </w:tc>
      </w:tr>
      <w:tr w:rsidR="00EE41D4" w:rsidRPr="00205F57" w:rsidTr="00E35F6C">
        <w:trPr>
          <w:trHeight w:val="244"/>
          <w:jc w:val="center"/>
        </w:trPr>
        <w:tc>
          <w:tcPr>
            <w:tcW w:w="7508" w:type="dxa"/>
            <w:vMerge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1: ÖĞRENCİLER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1.1.1.Standart öğrenci kabulü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0" w:name="_heading=h.2xcytpi" w:colFirst="0" w:colLast="0"/>
            <w:bookmarkEnd w:id="0"/>
            <w:r w:rsidRPr="00205F57">
              <w:rPr>
                <w:rFonts w:ascii="Cambria" w:eastAsia="Cambria" w:hAnsi="Cambria" w:cs="Cambria"/>
                <w:sz w:val="20"/>
                <w:szCs w:val="20"/>
              </w:rPr>
              <w:t>1.1.2.Özel yetenekle öğrenci kabulü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1.1.3.Yabancı öğrenci kabulü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1.1.4.Hazırlık sınıfı bilgisi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1.2.1.Yatay ve dikey geçişler, çift anadal, yandal uygulamaları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1.3.1.Öğrenci değişimi</w:t>
            </w:r>
          </w:p>
        </w:tc>
        <w:bookmarkStart w:id="1" w:name="_GoBack"/>
        <w:bookmarkEnd w:id="1"/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1.3.2.Uluslararası öğrenci değişimini teşvik düzenlemeleri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1.4.1.Danışmanlık hizmetleri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2" w:name="_heading=h.2bn6wsx" w:colFirst="0" w:colLast="0"/>
            <w:bookmarkEnd w:id="2"/>
            <w:r w:rsidRPr="00205F57">
              <w:rPr>
                <w:rFonts w:ascii="Cambria" w:eastAsia="Cambria" w:hAnsi="Cambria" w:cs="Cambria"/>
                <w:sz w:val="20"/>
                <w:szCs w:val="20"/>
              </w:rPr>
              <w:t>1.4.2.Danışman-öğrenci etkileşimi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1.5.1.Öğrencilerin kişisel ve mesleki gelişimlerine destek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1.5.2.Öğrencilerin araştırma faaliyetlerine katılımlarının teşviki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1.5.3.Öğrencilerin sosyal, kültürel ve sportif etkinliklere katılımlarının teşviki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1.6.1.Öğrencilerin başarı değerlendirmesi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1.6.2.Değerlendirmelerin yöntemlerinin şeffaflığı, adilliği ve tutarlılığı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1.7.1.Öğrenci memnuniyetinin ölçülmesi ve değerlendirilmesi yöntemleri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3" w:name="_heading=h.3as4poj" w:colFirst="0" w:colLast="0"/>
            <w:bookmarkEnd w:id="3"/>
            <w:r w:rsidRPr="00205F57">
              <w:rPr>
                <w:rFonts w:ascii="Cambria" w:eastAsia="Cambria" w:hAnsi="Cambria" w:cs="Cambria"/>
                <w:sz w:val="20"/>
                <w:szCs w:val="20"/>
              </w:rPr>
              <w:t>1.7.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>.Öğrenci geri bildirimlerinin kararlara yansıması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1.8.1.Öğrencilerin mezuniyet süreci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1.9.1.Mezun izleme sistemi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1.9.2.Mezunların program öğretim amaçlarına, program öğrenim çıktılarına ve ders planına katkıları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1.9.3.Bölüm-mezun-öğrenci etkileşimi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D05B96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mbria" w:eastAsia="Cambria" w:hAnsi="Cambria" w:cs="Cambria"/>
                <w:sz w:val="20"/>
                <w:szCs w:val="20"/>
              </w:rPr>
            </w:pPr>
            <w:r w:rsidRPr="00D05B96">
              <w:rPr>
                <w:rFonts w:ascii="Cambria" w:eastAsia="Cambria" w:hAnsi="Cambria" w:cs="Cambria"/>
                <w:sz w:val="20"/>
                <w:szCs w:val="20"/>
              </w:rPr>
              <w:t>1.9.4.Bölümün kendi mezunlarının yaşam boyu öğrenimlerine katkısı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2: PROGRAM ÖĞRETİM AMAÇLARI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4" w:name="_heading=h.147n2zr" w:colFirst="0" w:colLast="0"/>
            <w:bookmarkEnd w:id="4"/>
            <w:r w:rsidRPr="00205F57">
              <w:rPr>
                <w:rFonts w:ascii="Cambria" w:eastAsia="Cambria" w:hAnsi="Cambria" w:cs="Cambria"/>
                <w:sz w:val="20"/>
                <w:szCs w:val="20"/>
              </w:rPr>
              <w:t>2.1.1.Program öğretim amaçları ve yayımı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2.2.1.Programın iç ve dış paydaşları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5" w:name="_heading=h.1hmsyys" w:colFirst="0" w:colLast="0"/>
            <w:bookmarkEnd w:id="5"/>
            <w:r w:rsidRPr="00205F57">
              <w:rPr>
                <w:rFonts w:ascii="Cambria" w:eastAsia="Cambria" w:hAnsi="Cambria" w:cs="Cambria"/>
                <w:sz w:val="20"/>
                <w:szCs w:val="20"/>
              </w:rPr>
              <w:t>2.2.2.Program öğretim amaçlarının paydaşların gereksinimlerine göre belirlenmesi ve güncellenmesi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6" w:name="_heading=h.1v1yuxt" w:colFirst="0" w:colLast="0"/>
            <w:bookmarkEnd w:id="6"/>
            <w:r w:rsidRPr="00205F57">
              <w:rPr>
                <w:rFonts w:ascii="Cambria" w:eastAsia="Cambria" w:hAnsi="Cambria" w:cs="Cambria"/>
                <w:sz w:val="20"/>
                <w:szCs w:val="20"/>
              </w:rPr>
              <w:t>2.3.1.Program öğretim amaçlarına ulaşma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bookmarkStart w:id="7" w:name="_heading=h.4f1mdlm" w:colFirst="0" w:colLast="0"/>
            <w:bookmarkEnd w:id="7"/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3: PROGRAM ÖĞRENİM ÇIKTILARI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8" w:name="_heading=h.19c6y18" w:colFirst="0" w:colLast="0"/>
            <w:bookmarkEnd w:id="8"/>
            <w:r w:rsidRPr="00205F57">
              <w:rPr>
                <w:rFonts w:ascii="Cambria" w:eastAsia="Cambria" w:hAnsi="Cambria" w:cs="Cambria"/>
                <w:sz w:val="20"/>
                <w:szCs w:val="20"/>
              </w:rPr>
              <w:t>3.1.1. Program öğrenim çıktıları ve yayımı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3.2.1.Program öğrenim çıktılarını belirleme ve güncelleme yöntemi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3.3.1.Program öğretim çıktılarının TYÇ’deki yeterliklere uygunluğu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3.4.1.Program öğrenim çıktılarının program öğretim amaçlarıyla uyumu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9" w:name="_heading=h.3tbugp1" w:colFirst="0" w:colLast="0"/>
            <w:bookmarkEnd w:id="9"/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3.5.1.Bölüm PÖÇ’lerinin ilgili akreditasyon kuruluşunun </w:t>
            </w:r>
            <w:r w:rsidRPr="00205F57">
              <w:rPr>
                <w:rFonts w:ascii="Cambria" w:eastAsia="Cambria" w:hAnsi="Cambria" w:cs="Cambria"/>
                <w:sz w:val="20"/>
                <w:szCs w:val="20"/>
                <w:u w:val="single"/>
              </w:rPr>
              <w:t>ortak PÖÇ’lerini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 kapsaması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3.5.2.Bölüm PÖÇ’lerinin ilgili akreditasyon kuruluşunun </w:t>
            </w:r>
            <w:r w:rsidRPr="00205F57">
              <w:rPr>
                <w:rFonts w:ascii="Cambria" w:eastAsia="Cambria" w:hAnsi="Cambria" w:cs="Cambria"/>
                <w:b/>
                <w:sz w:val="20"/>
                <w:szCs w:val="20"/>
                <w:u w:val="single"/>
              </w:rPr>
              <w:t>programa özgü PÖÇ’lerini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 kapsaması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3.6.1.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Mezun olmuş veya m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>ezuniyet aşamasına gelmiş öğrenciler bakımından ilgili akreditasyon kuruluşunun ortak PÖÇ’lerine ulaşılması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3.6.2.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Mezun olmuş veya m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>ezuniyet aşamasına gelmiş öğrenciler bakımından ilgili akreditasyon kuruluşunun programa özgü PÖÇ’lerine ulaşılması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10" w:name="_heading=h.roc6cni1rpq" w:colFirst="0" w:colLast="0"/>
            <w:bookmarkStart w:id="11" w:name="_heading=h.y7hxiaq2fu68" w:colFirst="0" w:colLast="0"/>
            <w:bookmarkEnd w:id="10"/>
            <w:bookmarkEnd w:id="11"/>
            <w:r w:rsidRPr="00205F57">
              <w:rPr>
                <w:rFonts w:ascii="Cambria" w:eastAsia="Cambria" w:hAnsi="Cambria" w:cs="Cambria"/>
                <w:sz w:val="20"/>
                <w:szCs w:val="20"/>
              </w:rPr>
              <w:t>3.6.3.PÖÇ’lerden en önemli olan 5 veya 6’sına ulaşılmasının ayrıntılı açıklanması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12" w:name="_heading=h.epixiy5xevnc" w:colFirst="0" w:colLast="0"/>
            <w:bookmarkStart w:id="13" w:name="_heading=h.46r0co2" w:colFirst="0" w:colLast="0"/>
            <w:bookmarkEnd w:id="12"/>
            <w:bookmarkEnd w:id="13"/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3.7.1.Uzaktan eğitimin uygulanması durumunda; öğrencilere ilgili PÖÇ’’lerin kazandırılması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3.7.2.Belli derslerin uzaktan eğitim yoluyla yürütülmesi durumunda; derslerin ilgili PÖÇ’leri nasıl sağladığı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4: ÖĞRETİM PLANI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bookmarkStart w:id="14" w:name="_heading=h.111kx3o" w:colFirst="0" w:colLast="0"/>
            <w:bookmarkEnd w:id="14"/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4.1.1.Öğretim planı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4.1.2.Seçimlik dersler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4.1.3.Derslerin, ilgili akreditasyon kuruluşunun ortak PÖÇ’lerine katkısı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4.1.4.Derslerin, ilgili akreditasyon kuruluşunun programa özgü PÖÇ’lerine katkısı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582AEA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tag w:val="goog_rdk_0"/>
                <w:id w:val="521240922"/>
                <w:showingPlcHdr/>
              </w:sdtPr>
              <w:sdtEndPr/>
              <w:sdtContent/>
            </w:sdt>
            <w:r w:rsidR="00EE41D4" w:rsidRPr="00205F57">
              <w:rPr>
                <w:rFonts w:ascii="Cambria" w:eastAsia="Cambria" w:hAnsi="Cambria" w:cs="Cambria"/>
                <w:sz w:val="20"/>
                <w:szCs w:val="20"/>
              </w:rPr>
              <w:t>4.1.5.Derslerin (bölüm dışı dersler de dahil) izlenceleri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4.1.6.Ders içerik dosyaları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4.2.1.Öğretim planının uygulama sistemi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4.2.2.Derslerin alınma sırasındaki ders ilişkileri, dönemler arası ilişkiler, derslerin derinlik ve kapsamı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15" w:name="_heading=h.2zbgiuw" w:colFirst="0" w:colLast="0"/>
            <w:bookmarkEnd w:id="15"/>
            <w:r w:rsidRPr="00205F57">
              <w:rPr>
                <w:rFonts w:ascii="Cambria" w:eastAsia="Cambria" w:hAnsi="Cambria" w:cs="Cambria"/>
                <w:sz w:val="20"/>
                <w:szCs w:val="20"/>
              </w:rPr>
              <w:t>4.2.3.Öğretim planının uygulanması sistemi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4.3.1.Alan uygulama deneyiminin kazandırılması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bookmarkStart w:id="16" w:name="_heading=h.4x2oiccztq9y" w:colFirst="0" w:colLast="0"/>
            <w:bookmarkStart w:id="17" w:name="_heading=h.1egqt2p" w:colFirst="0" w:colLast="0"/>
            <w:bookmarkEnd w:id="16"/>
            <w:bookmarkEnd w:id="17"/>
            <w:r w:rsidRPr="00205F57">
              <w:rPr>
                <w:rFonts w:ascii="Cambria" w:eastAsia="Cambria" w:hAnsi="Cambria" w:cs="Cambria"/>
                <w:sz w:val="20"/>
                <w:szCs w:val="20"/>
              </w:rPr>
              <w:t>4.3.2.Alan uygulama deneyiminde seçmeli derslerin rolü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4.3.3.Alan uygulama becerisinde stajların rolü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4.3.4.Alan uygulama becerisinde 1 veya 2 yarıyıllık (3+1; 6+2; 7+1 gibi) sektör uygulamaları veya işbaşı eğitiminin rolü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5: ÖĞRETİM KADROSU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5.1.1.Öğretim kadrosunun sayısal yeterliliği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5.2.1. Öğretim kadrosunun niteliksel bakımdan yeterliliği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5.2.2.Öğretim elemanlarının uzaktan eğitim teknolojisi yeterlikleri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5.3.1.Öğretim kadrosunun ders verme dışındaki faaliyetleri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5.3.2</w:t>
            </w: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.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>Öğretim elemanlarının programın iyileştirilmesine katkıları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bookmarkStart w:id="18" w:name="_heading=h.kgcv8k" w:colFirst="0" w:colLast="0"/>
            <w:bookmarkEnd w:id="18"/>
            <w:r w:rsidRPr="00205F57">
              <w:rPr>
                <w:rFonts w:ascii="Cambria" w:eastAsia="Cambria" w:hAnsi="Cambria" w:cs="Cambria"/>
                <w:sz w:val="20"/>
                <w:szCs w:val="20"/>
              </w:rPr>
              <w:t>5.4.1.Öğretim üyesi atama ve yükseltme ölçütleri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bookmarkStart w:id="19" w:name="_heading=h.34g0dwd" w:colFirst="0" w:colLast="0"/>
            <w:bookmarkEnd w:id="19"/>
            <w:r w:rsidRPr="00205F57">
              <w:rPr>
                <w:rFonts w:ascii="Cambria" w:eastAsia="Cambria" w:hAnsi="Cambria" w:cs="Cambria"/>
                <w:sz w:val="20"/>
                <w:szCs w:val="20"/>
              </w:rPr>
              <w:t>5.5.1.Öğretim kadrosunun nitelikleri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6: YÖNETİM YAPISI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6.1.1.Organizasyon yapısı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6.1.2.Akademik birimin idari birimlerle ilişkileri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6.2.1.Akademik birimdeki</w:t>
            </w: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>bireylerin iş ve görev tanımları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6.3.1.Akademik birim ile program yönetimi ilişkileri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6.4.1.Arşivleme yöntemi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7: ALTYAPI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7.1.1.Sınıflar ve donanımı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7.1.2.Derslerin yoğunluk düzeyi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7.2.1.Laboratuarlar, uygulama alanları ve donanımı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bookmarkStart w:id="20" w:name="_heading=h.1baon6m" w:colFirst="0" w:colLast="0"/>
            <w:bookmarkStart w:id="21" w:name="_heading=h.3vac5uf" w:colFirst="0" w:colLast="0"/>
            <w:bookmarkEnd w:id="20"/>
            <w:bookmarkEnd w:id="21"/>
            <w:r w:rsidRPr="00205F57">
              <w:rPr>
                <w:rFonts w:ascii="Cambria" w:eastAsia="Cambria" w:hAnsi="Cambria" w:cs="Cambria"/>
                <w:sz w:val="20"/>
                <w:szCs w:val="20"/>
              </w:rPr>
              <w:t>7.3.1.Akademik birimdeki ders dışı etkinlik altyapısı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7.3.2.Üniversitenin</w:t>
            </w: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>ders dışı etkinlik alt yapısı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7.4.1.Öğretim elemanlarının ofis olanakları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7.5.1. İdari personelin ofis olanakları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7.6.1.Üniversitede ve akademik birimdeki kütüphane olanakları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22" w:name="_heading=h.1opuj5n" w:colFirst="0" w:colLast="0"/>
            <w:bookmarkEnd w:id="22"/>
            <w:r w:rsidRPr="00205F57">
              <w:rPr>
                <w:rFonts w:ascii="Cambria" w:eastAsia="Cambria" w:hAnsi="Cambria" w:cs="Cambria"/>
                <w:sz w:val="20"/>
                <w:szCs w:val="20"/>
              </w:rPr>
              <w:t>7.6.2.Engelli öğrencilere sağlanan kütüphane olanakları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i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7.6.3.Programa uygun kaynak, süreli yayın, veri tabanları vb.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7.7.1.Kampüse giriş, kampüs ortamı ve eğitim binasındaki güvenlik önlemleri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7.8.1.Kampüs ortamı ve eğitim binasındaki yangın önlemleri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23" w:name="_heading=h.1302m92" w:colFirst="0" w:colLast="0"/>
            <w:bookmarkEnd w:id="23"/>
            <w:r w:rsidRPr="00205F57">
              <w:rPr>
                <w:rFonts w:ascii="Cambria" w:eastAsia="Cambria" w:hAnsi="Cambria" w:cs="Cambria"/>
                <w:sz w:val="20"/>
                <w:szCs w:val="20"/>
              </w:rPr>
              <w:t>7.9.1.Kampüste ve eğitimi binasındaki ilk yardım önlemleri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7.10.1.Kampüs ortamındaki engelli erişimi önlemleri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7.10.2.Eğitim binasındaki engelli erişimi önlemleri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7.11.1.Uzaktan eğitim alt yapısı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7.11.2.Öğretim elemanlarına uzaktan eğitimle ilgili sağlanan eğitim içeriği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7.11.3.Çevrimiçi canlı dersleri kayıt altına alma ve saklama süreçleri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7.11.4.Çevrimiçi yapılan sınavlarda, sınav güvenliği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7.11.5.Uzaktan eğitimde görevli teknik ve destek personelinin yeterliği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8: KURUM DESTEĞİ VE PARASAL KAYNAKLAR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8.1.1.Programa sağlanan parasal destek ve sürdürülebilirliği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8.2.1.Öğretim elemanlarına sağlanan olanakların yeterliliği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8.2.2.Değişim programlarından yararlanan (varsa) akademik personel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24" w:name="_heading=h.upglbi" w:colFirst="0" w:colLast="0"/>
            <w:bookmarkEnd w:id="24"/>
            <w:r w:rsidRPr="00205F57">
              <w:rPr>
                <w:rFonts w:ascii="Cambria" w:eastAsia="Cambria" w:hAnsi="Cambria" w:cs="Cambria"/>
                <w:sz w:val="20"/>
                <w:szCs w:val="20"/>
              </w:rPr>
              <w:t>8.3.1.Altyapı ve donanımı temin etmek, bakımını yapmak ve işletmek için sağlanan parasal desteğin yeterliliği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25" w:name="_heading=h.3ep43zb" w:colFirst="0" w:colLast="0"/>
            <w:bookmarkEnd w:id="25"/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8.4.1.Teknik ve idari personelin sayıca yeterliliği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8.4.2.İdari personele sağlanan olanakların yeterliliği 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8.4.3.Değişim programlarından yararlanan (varsa) idari personel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9: TOPLUMSAL KATKI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>9.1.1</w:t>
            </w: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.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Programda görevli </w:t>
            </w: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a</w:t>
            </w:r>
            <w:r w:rsidRPr="00205F57">
              <w:rPr>
                <w:rFonts w:ascii="Cambria" w:eastAsia="Cambria" w:hAnsi="Cambria" w:cs="Cambria"/>
                <w:sz w:val="20"/>
                <w:szCs w:val="20"/>
              </w:rPr>
              <w:t>kademik kadronun toplumsal katkıları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  <w:shd w:val="clear" w:color="auto" w:fill="auto"/>
          </w:tcPr>
          <w:p w:rsidR="00EE41D4" w:rsidRPr="00497A8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497A87">
              <w:rPr>
                <w:rFonts w:ascii="Cambria" w:eastAsia="Cambria" w:hAnsi="Cambria" w:cs="Cambria"/>
                <w:sz w:val="20"/>
                <w:szCs w:val="20"/>
              </w:rPr>
              <w:t>9.2.1. Fakülte/yüksekokuldaki</w:t>
            </w:r>
            <w:r w:rsidRPr="00497A87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  <w:r w:rsidRPr="00497A87">
              <w:rPr>
                <w:rFonts w:ascii="Cambria" w:eastAsia="Cambria" w:hAnsi="Cambria" w:cs="Cambria"/>
                <w:sz w:val="20"/>
                <w:szCs w:val="20"/>
              </w:rPr>
              <w:t>idari personelin toplumsal katkıları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b/>
                <w:sz w:val="20"/>
                <w:szCs w:val="20"/>
              </w:rPr>
              <w:t>ÖLÇÜT 10: SÜREKLİ İYİLEŞTİRME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bookmarkStart w:id="26" w:name="_heading=h.2szc72q" w:colFirst="0" w:colLast="0"/>
            <w:bookmarkEnd w:id="26"/>
            <w:r w:rsidRPr="00205F57">
              <w:rPr>
                <w:rFonts w:ascii="Cambria" w:eastAsia="Cambria" w:hAnsi="Cambria" w:cs="Cambria"/>
                <w:sz w:val="20"/>
                <w:szCs w:val="20"/>
              </w:rPr>
              <w:t>10.1.1.Son üç (3) yıl içinde başta Ölçüt 2 ve Ölçüt 3 olmak üzere sürekli iyileştirme faaliyetleri ve sistematiği</w:t>
            </w: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EE41D4" w:rsidRPr="00205F57" w:rsidTr="00E35F6C">
        <w:trPr>
          <w:jc w:val="center"/>
        </w:trPr>
        <w:tc>
          <w:tcPr>
            <w:tcW w:w="7508" w:type="dxa"/>
          </w:tcPr>
          <w:p w:rsidR="00EE41D4" w:rsidRPr="00205F57" w:rsidRDefault="00EE41D4" w:rsidP="00E35F6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205F5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</w:tbl>
    <w:p w:rsidR="00EE41D4" w:rsidRDefault="00EE41D4" w:rsidP="00EE41D4"/>
    <w:p w:rsidR="00251700" w:rsidRDefault="00251700"/>
    <w:sectPr w:rsidR="0025170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AEA" w:rsidRDefault="00582AEA" w:rsidP="00251700">
      <w:pPr>
        <w:spacing w:after="0" w:line="240" w:lineRule="auto"/>
      </w:pPr>
      <w:r>
        <w:separator/>
      </w:r>
    </w:p>
  </w:endnote>
  <w:endnote w:type="continuationSeparator" w:id="0">
    <w:p w:rsidR="00582AEA" w:rsidRDefault="00582AEA" w:rsidP="00251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AEA" w:rsidRDefault="00582AEA" w:rsidP="00251700">
      <w:pPr>
        <w:spacing w:after="0" w:line="240" w:lineRule="auto"/>
      </w:pPr>
      <w:r>
        <w:separator/>
      </w:r>
    </w:p>
  </w:footnote>
  <w:footnote w:type="continuationSeparator" w:id="0">
    <w:p w:rsidR="00582AEA" w:rsidRDefault="00582AEA" w:rsidP="00251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700" w:rsidRDefault="00251700">
    <w:pPr>
      <w:pStyle w:val="stBilgi"/>
    </w:pPr>
    <w:r>
      <w:t xml:space="preserve"> </w:t>
    </w:r>
  </w:p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94"/>
      <w:gridCol w:w="6778"/>
    </w:tblGrid>
    <w:tr w:rsidR="00251700" w:rsidTr="00251700">
      <w:tc>
        <w:tcPr>
          <w:tcW w:w="2122" w:type="dxa"/>
        </w:tcPr>
        <w:p w:rsidR="00251700" w:rsidRDefault="00251700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41739EDB" wp14:editId="0BA20590">
                <wp:extent cx="1319530" cy="874644"/>
                <wp:effectExtent l="0" t="0" r="0" b="190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9833" cy="9013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0" w:type="dxa"/>
          <w:vAlign w:val="center"/>
        </w:tcPr>
        <w:p w:rsidR="00251700" w:rsidRPr="00251700" w:rsidRDefault="00251700" w:rsidP="00251700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51700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251700" w:rsidRPr="00251700" w:rsidRDefault="00251700" w:rsidP="00251700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51700">
            <w:rPr>
              <w:rFonts w:ascii="Times New Roman" w:hAnsi="Times New Roman" w:cs="Times New Roman"/>
              <w:b/>
              <w:sz w:val="24"/>
              <w:szCs w:val="24"/>
            </w:rPr>
            <w:t>MERSİN ÜNİVERSİTESİ REKTÖRLÜĞÜ</w:t>
          </w:r>
        </w:p>
        <w:p w:rsidR="00251700" w:rsidRDefault="00251700" w:rsidP="00251700">
          <w:pPr>
            <w:pStyle w:val="stBilgi"/>
            <w:jc w:val="center"/>
          </w:pPr>
          <w:r w:rsidRPr="00251700">
            <w:rPr>
              <w:rFonts w:ascii="Times New Roman" w:hAnsi="Times New Roman" w:cs="Times New Roman"/>
              <w:b/>
              <w:sz w:val="24"/>
              <w:szCs w:val="24"/>
            </w:rPr>
            <w:t>Eğitim ve Öğretim Koordinatörlüğü</w:t>
          </w:r>
        </w:p>
      </w:tc>
    </w:tr>
  </w:tbl>
  <w:p w:rsidR="00251700" w:rsidRDefault="00251700">
    <w:pPr>
      <w:pStyle w:val="stBilgi"/>
    </w:pPr>
  </w:p>
  <w:p w:rsidR="00251700" w:rsidRDefault="0025170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00"/>
    <w:rsid w:val="00251700"/>
    <w:rsid w:val="00582AEA"/>
    <w:rsid w:val="005D42BA"/>
    <w:rsid w:val="00627790"/>
    <w:rsid w:val="0066015A"/>
    <w:rsid w:val="007A3EEB"/>
    <w:rsid w:val="008A3EEE"/>
    <w:rsid w:val="00C21CB2"/>
    <w:rsid w:val="00CE1FB8"/>
    <w:rsid w:val="00DD5364"/>
    <w:rsid w:val="00EE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21162-A008-43C8-AD53-257E4977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1D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1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1700"/>
  </w:style>
  <w:style w:type="paragraph" w:styleId="AltBilgi">
    <w:name w:val="footer"/>
    <w:basedOn w:val="Normal"/>
    <w:link w:val="AltBilgiChar"/>
    <w:uiPriority w:val="99"/>
    <w:unhideWhenUsed/>
    <w:rsid w:val="00251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51700"/>
  </w:style>
  <w:style w:type="table" w:styleId="TabloKlavuzu">
    <w:name w:val="Table Grid"/>
    <w:basedOn w:val="NormalTablo"/>
    <w:uiPriority w:val="39"/>
    <w:qFormat/>
    <w:rsid w:val="00251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usr56</dc:creator>
  <cp:keywords/>
  <dc:description/>
  <cp:lastModifiedBy>technopc</cp:lastModifiedBy>
  <cp:revision>2</cp:revision>
  <dcterms:created xsi:type="dcterms:W3CDTF">2026-02-23T08:35:00Z</dcterms:created>
  <dcterms:modified xsi:type="dcterms:W3CDTF">2026-02-23T08:35:00Z</dcterms:modified>
</cp:coreProperties>
</file>